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AC2355"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-În baza HG nr.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r w:rsidR="00D16A28" w:rsidRPr="00E34897">
        <w:rPr>
          <w:b/>
          <w:i/>
          <w:iCs/>
        </w:rPr>
        <w:t>Criterii generale privind conţinutul</w:t>
      </w: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C636A4">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lastRenderedPageBreak/>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w:t>
            </w:r>
            <w:bookmarkStart w:id="0" w:name="_GoBack"/>
            <w:bookmarkEnd w:id="0"/>
            <w:r w:rsidRPr="00E34897">
              <w:rPr>
                <w:rFonts w:cs="Arial"/>
                <w:lang w:val="ro-RO"/>
              </w:rPr>
              <w:t>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r w:rsidRPr="001B7063">
              <w:rPr>
                <w:rFonts w:ascii="Trebuchet MS" w:hAnsi="Trebuchet MS"/>
                <w:sz w:val="20"/>
                <w:szCs w:val="20"/>
              </w:rPr>
              <w:t>Documentele anexate la cererea de finantare care demonstr</w:t>
            </w:r>
            <w:r>
              <w:rPr>
                <w:rFonts w:ascii="Trebuchet MS" w:hAnsi="Trebuchet MS"/>
                <w:sz w:val="20"/>
                <w:szCs w:val="20"/>
              </w:rPr>
              <w:t>e</w:t>
            </w:r>
            <w:r w:rsidRPr="001B7063">
              <w:rPr>
                <w:rFonts w:ascii="Trebuchet MS" w:hAnsi="Trebuchet MS"/>
                <w:sz w:val="20"/>
                <w:szCs w:val="20"/>
              </w:rPr>
              <w:t xml:space="preserve">aza dreptul solicitantului/partenerilor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executa lucrarile propuse, sunt cuprinzatoare fata de interventiile propuse a fi realizate prin proiect?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4A0B2C" w:rsidRDefault="004A0B2C" w:rsidP="004A0B2C">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Acolo unde exista diferente intre documentele </w:t>
      </w:r>
      <w:r w:rsidR="003D60BB">
        <w:rPr>
          <w:rFonts w:ascii="Trebuchet MS" w:eastAsia="Times New Roman" w:hAnsi="Trebuchet MS" w:cs="Arial"/>
          <w:b/>
          <w:color w:val="000000" w:themeColor="text1"/>
          <w:sz w:val="20"/>
          <w:szCs w:val="20"/>
          <w:lang w:val="ro-RO"/>
        </w:rPr>
        <w:t xml:space="preserve">de proprietate/administrare </w:t>
      </w:r>
      <w:r>
        <w:rPr>
          <w:rFonts w:ascii="Trebuchet MS" w:eastAsia="Times New Roman" w:hAnsi="Trebuchet MS" w:cs="Arial"/>
          <w:b/>
          <w:color w:val="000000" w:themeColor="text1"/>
          <w:sz w:val="20"/>
          <w:szCs w:val="20"/>
          <w:lang w:val="ro-RO"/>
        </w:rPr>
        <w:t>prezentate</w:t>
      </w:r>
      <w:r w:rsidR="003D60BB">
        <w:rPr>
          <w:rFonts w:ascii="Trebuchet MS" w:eastAsia="Times New Roman" w:hAnsi="Trebuchet MS" w:cs="Arial"/>
          <w:b/>
          <w:color w:val="000000" w:themeColor="text1"/>
          <w:sz w:val="20"/>
          <w:szCs w:val="20"/>
          <w:lang w:val="ro-RO"/>
        </w:rPr>
        <w:t xml:space="preserve"> la depunere si suprafetele identificate in documentatia tehnica</w:t>
      </w:r>
      <w:r>
        <w:rPr>
          <w:rFonts w:ascii="Trebuchet MS" w:eastAsia="Times New Roman" w:hAnsi="Trebuchet MS" w:cs="Arial"/>
          <w:b/>
          <w:color w:val="000000" w:themeColor="text1"/>
          <w:sz w:val="20"/>
          <w:szCs w:val="20"/>
          <w:lang w:val="ro-RO"/>
        </w:rPr>
        <w:t>,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se va proceda</w:t>
      </w:r>
      <w:r w:rsidR="006811C1">
        <w:rPr>
          <w:rFonts w:ascii="Trebuchet MS" w:eastAsia="Times New Roman" w:hAnsi="Trebuchet MS" w:cs="Arial"/>
          <w:b/>
          <w:color w:val="000000" w:themeColor="text1"/>
          <w:sz w:val="20"/>
          <w:szCs w:val="20"/>
          <w:lang w:val="ro-RO"/>
        </w:rPr>
        <w:t xml:space="preserve"> conform prevederilor procedurale.</w:t>
      </w:r>
    </w:p>
    <w:p w:rsidR="007E4304"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362FBD"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r w:rsidRPr="00E34897">
        <w:rPr>
          <w:b/>
          <w:i/>
          <w:iCs/>
        </w:rPr>
        <w:t>Criterii specifice privind aspectele calitative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732E91">
            <w:pPr>
              <w:jc w:val="both"/>
              <w:rPr>
                <w:rFonts w:cs="Arial"/>
                <w:lang w:val="ro-RO"/>
              </w:rPr>
            </w:pPr>
            <w:r>
              <w:rPr>
                <w:rFonts w:cs="Arial"/>
                <w:lang w:val="ro-RO"/>
              </w:rPr>
              <w:t xml:space="preserve">0 sau 2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732E91">
            <w:pPr>
              <w:rPr>
                <w:rFonts w:cs="Arial"/>
                <w:lang w:val="ro-RO"/>
              </w:rPr>
            </w:pPr>
            <w:r>
              <w:rPr>
                <w:rFonts w:cs="Arial"/>
                <w:lang w:val="ro-RO"/>
              </w:rPr>
              <w:t>0,1 sau 2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(dupa caz) auditul energetic, </w:t>
            </w:r>
            <w:r w:rsidRPr="00E34897">
              <w:rPr>
                <w:rFonts w:cs="Arial"/>
                <w:lang w:val="ro-RO"/>
              </w:rPr>
              <w:t xml:space="preserve">luându-se în calcul </w:t>
            </w:r>
            <w:r w:rsidRPr="00E34897">
              <w:rPr>
                <w:rFonts w:cs="Arial"/>
                <w:lang w:val="ro-RO"/>
              </w:rPr>
              <w:lastRenderedPageBreak/>
              <w:t>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D1545C">
            <w:pPr>
              <w:jc w:val="both"/>
              <w:rPr>
                <w:rFonts w:cs="Arial"/>
                <w:lang w:val="ro-RO"/>
              </w:rPr>
            </w:pPr>
            <w:r>
              <w:rPr>
                <w:rFonts w:cs="Arial"/>
                <w:lang w:val="ro-RO"/>
              </w:rPr>
              <w:lastRenderedPageBreak/>
              <w:t>0 sau 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r w:rsidR="005C52CF" w:rsidRPr="00E34897">
              <w:rPr>
                <w:rFonts w:cs="Arial"/>
              </w:rPr>
              <w:t>luându-se în calcul inclusiv scenariile recomandate prin acestea</w:t>
            </w:r>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732E91">
            <w:pPr>
              <w:jc w:val="both"/>
              <w:rPr>
                <w:rFonts w:cs="Arial"/>
                <w:lang w:val="ro-RO"/>
              </w:rPr>
            </w:pPr>
            <w:r>
              <w:rPr>
                <w:rFonts w:cs="Arial"/>
                <w:lang w:val="ro-RO"/>
              </w:rPr>
              <w:t>0 sau 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D1545C">
            <w:pPr>
              <w:jc w:val="both"/>
              <w:rPr>
                <w:rFonts w:cs="Arial"/>
                <w:lang w:val="ro-RO"/>
              </w:rPr>
            </w:pPr>
            <w:r>
              <w:rPr>
                <w:rFonts w:cs="Arial"/>
                <w:lang w:val="ro-RO"/>
              </w:rPr>
              <w:t xml:space="preserve">0,1 sau </w:t>
            </w:r>
            <w:r w:rsidR="00D1545C">
              <w:rPr>
                <w:rFonts w:cs="Arial"/>
                <w:lang w:val="ro-RO"/>
              </w:rPr>
              <w:t>3</w:t>
            </w:r>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r w:rsidRPr="00E34897">
              <w:rPr>
                <w:rFonts w:cs="Arial"/>
              </w:rPr>
              <w:t>Planşele de specialități sunt corelate cu specificațiile tehnice pentru specialități?</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732E91">
            <w:pPr>
              <w:jc w:val="both"/>
              <w:rPr>
                <w:rFonts w:cs="Arial"/>
                <w:lang w:val="ro-RO"/>
              </w:rPr>
            </w:pPr>
            <w:r>
              <w:rPr>
                <w:rFonts w:cs="Arial"/>
                <w:lang w:val="ro-RO"/>
              </w:rPr>
              <w:t>0,1 sau 2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2:</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w:t>
      </w:r>
      <w:r w:rsidR="00CA192D">
        <w:rPr>
          <w:rFonts w:ascii="Trebuchet MS" w:eastAsia="Calibri" w:hAnsi="Trebuchet MS" w:cs="Arial"/>
          <w:sz w:val="20"/>
          <w:szCs w:val="20"/>
          <w:lang w:val="ro-RO"/>
        </w:rPr>
        <w:t xml:space="preserve"> acolo unde este indicat ca se poate acorda 1 punct</w:t>
      </w:r>
      <w:r>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sau a unui punctaj mai mic de 3 puncte la criteriu 6</w:t>
      </w:r>
      <w:r w:rsidR="00CA192D">
        <w:rPr>
          <w:rFonts w:ascii="Trebuchet MS" w:eastAsia="Calibri" w:hAnsi="Trebuchet MS" w:cs="Arial"/>
          <w:sz w:val="20"/>
          <w:szCs w:val="20"/>
          <w:lang w:val="ro-RO"/>
        </w:rPr>
        <w:t xml:space="preserve"> 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7E40F2">
        <w:rPr>
          <w:rFonts w:ascii="Trebuchet MS" w:eastAsia="Calibri" w:hAnsi="Trebuchet MS" w:cs="Arial"/>
          <w:sz w:val="20"/>
          <w:szCs w:val="20"/>
          <w:lang w:val="ro-RO"/>
        </w:rPr>
        <w:t xml:space="preserve">cu mentiunea ca daca se considera ca neindeplinirea recomandarilor poate afecta major calitatea documentatiei NU se </w:t>
      </w:r>
      <w:r w:rsidR="007E40F2">
        <w:rPr>
          <w:rFonts w:ascii="Trebuchet MS" w:eastAsia="Calibri" w:hAnsi="Trebuchet MS" w:cs="Arial"/>
          <w:sz w:val="20"/>
          <w:szCs w:val="20"/>
          <w:lang w:val="ro-RO"/>
        </w:rPr>
        <w:lastRenderedPageBreak/>
        <w:t>poate acorda 1 punct la aceste criterii</w:t>
      </w:r>
      <w:r w:rsidR="0054675E">
        <w:rPr>
          <w:rFonts w:ascii="Trebuchet MS" w:eastAsia="Calibri" w:hAnsi="Trebuchet MS" w:cs="Arial"/>
          <w:sz w:val="20"/>
          <w:szCs w:val="20"/>
          <w:lang w:val="ro-RO"/>
        </w:rPr>
        <w:t>. Nu se poate acorda 1 punct pentru</w:t>
      </w:r>
      <w:r w:rsidR="006F2399">
        <w:rPr>
          <w:rFonts w:ascii="Trebuchet MS" w:eastAsia="Calibri" w:hAnsi="Trebuchet MS" w:cs="Arial"/>
          <w:sz w:val="20"/>
          <w:szCs w:val="20"/>
          <w:lang w:val="ro-RO"/>
        </w:rPr>
        <w:t xml:space="preserve"> criteriile 1si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471" w:rsidRDefault="00B91471" w:rsidP="002164BC">
      <w:pPr>
        <w:spacing w:after="0" w:line="240" w:lineRule="auto"/>
      </w:pPr>
      <w:r>
        <w:separator/>
      </w:r>
    </w:p>
  </w:endnote>
  <w:endnote w:type="continuationSeparator" w:id="0">
    <w:p w:rsidR="00B91471" w:rsidRDefault="00B9147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471" w:rsidRDefault="00B91471" w:rsidP="002164BC">
      <w:pPr>
        <w:spacing w:after="0" w:line="240" w:lineRule="auto"/>
      </w:pPr>
      <w:r>
        <w:separator/>
      </w:r>
    </w:p>
  </w:footnote>
  <w:footnote w:type="continuationSeparator" w:id="0">
    <w:p w:rsidR="00B91471" w:rsidRDefault="00B91471"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AF05E2" w:rsidTr="00EC0392">
      <w:trPr>
        <w:cantSplit/>
      </w:trPr>
      <w:tc>
        <w:tcPr>
          <w:tcW w:w="9197" w:type="dxa"/>
          <w:gridSpan w:val="2"/>
          <w:tcBorders>
            <w:top w:val="single" w:sz="4" w:space="0" w:color="333333"/>
            <w:bottom w:val="nil"/>
          </w:tcBorders>
        </w:tcPr>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Times New Roman"/>
              <w:b/>
              <w:bCs/>
              <w:color w:val="808080"/>
              <w:sz w:val="14"/>
              <w:szCs w:val="24"/>
              <w:lang w:val="ro-RO"/>
            </w:rPr>
            <w:t xml:space="preserve">  Ghidul Solicitantului – Condițíi spec</w:t>
          </w:r>
          <w:r w:rsidR="001C7E35">
            <w:rPr>
              <w:rFonts w:ascii="Trebuchet MS" w:eastAsia="Times New Roman" w:hAnsi="Trebuchet MS" w:cs="Times New Roman"/>
              <w:b/>
              <w:bCs/>
              <w:color w:val="808080"/>
              <w:sz w:val="14"/>
              <w:szCs w:val="24"/>
              <w:lang w:val="ro-RO"/>
            </w:rPr>
            <w:t>ifice de accesare a fondurilor</w:t>
          </w:r>
          <w:r w:rsidRPr="00AF05E2">
            <w:rPr>
              <w:rFonts w:ascii="Trebuchet MS" w:eastAsia="Times New Roman" w:hAnsi="Trebuchet MS" w:cs="Times New Roman"/>
              <w:b/>
              <w:bCs/>
              <w:color w:val="808080"/>
              <w:sz w:val="14"/>
              <w:szCs w:val="24"/>
              <w:lang w:val="ro-RO"/>
            </w:rPr>
            <w:t xml:space="preserve"> </w:t>
          </w:r>
        </w:p>
      </w:tc>
    </w:tr>
    <w:tr w:rsidR="00AF05E2" w:rsidRPr="00AF05E2" w:rsidTr="00EC0392">
      <w:trPr>
        <w:cantSplit/>
      </w:trPr>
      <w:tc>
        <w:tcPr>
          <w:tcW w:w="9197" w:type="dxa"/>
          <w:gridSpan w:val="2"/>
          <w:tcBorders>
            <w:top w:val="nil"/>
            <w:bottom w:val="nil"/>
          </w:tcBorders>
        </w:tcPr>
        <w:p w:rsidR="00AF05E2" w:rsidRPr="00AF05E2" w:rsidRDefault="001C7E35"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w:t>
          </w:r>
          <w:r w:rsidR="00AF05E2" w:rsidRPr="00AF05E2">
            <w:rPr>
              <w:rFonts w:ascii="Trebuchet MS" w:eastAsia="Times New Roman" w:hAnsi="Trebuchet MS" w:cs="Arial"/>
              <w:b/>
              <w:bCs/>
              <w:color w:val="333333"/>
              <w:sz w:val="14"/>
              <w:szCs w:val="24"/>
              <w:lang w:val="ro-RO"/>
            </w:rPr>
            <w:t>.</w:t>
          </w:r>
          <w:r w:rsidR="00AF05E2">
            <w:rPr>
              <w:rFonts w:ascii="Trebuchet MS" w:eastAsia="Times New Roman" w:hAnsi="Trebuchet MS" w:cs="Arial"/>
              <w:b/>
              <w:bCs/>
              <w:color w:val="333333"/>
              <w:sz w:val="14"/>
              <w:szCs w:val="24"/>
              <w:lang w:val="ro-RO"/>
            </w:rPr>
            <w:t>3.a</w:t>
          </w:r>
          <w:r w:rsidR="00AF05E2" w:rsidRPr="00AF05E2">
            <w:rPr>
              <w:rFonts w:ascii="Trebuchet MS" w:eastAsia="Times New Roman" w:hAnsi="Trebuchet MS" w:cs="Arial"/>
              <w:b/>
              <w:bCs/>
              <w:color w:val="333333"/>
              <w:sz w:val="14"/>
              <w:szCs w:val="24"/>
              <w:lang w:val="ro-RO"/>
            </w:rPr>
            <w:t>.</w:t>
          </w:r>
        </w:p>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5B8E"/>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C7E35"/>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0B2C"/>
    <w:rsid w:val="004A53E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2377"/>
    <w:rsid w:val="00576BFF"/>
    <w:rsid w:val="0058234D"/>
    <w:rsid w:val="005829AE"/>
    <w:rsid w:val="00586A89"/>
    <w:rsid w:val="00592DB7"/>
    <w:rsid w:val="005A2A3C"/>
    <w:rsid w:val="005C093C"/>
    <w:rsid w:val="005C22C2"/>
    <w:rsid w:val="005C476E"/>
    <w:rsid w:val="005C4BA2"/>
    <w:rsid w:val="005C52CF"/>
    <w:rsid w:val="005C585C"/>
    <w:rsid w:val="005C76D3"/>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1471"/>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36A4"/>
    <w:rsid w:val="00C64C04"/>
    <w:rsid w:val="00C70EAF"/>
    <w:rsid w:val="00C740F9"/>
    <w:rsid w:val="00C80D42"/>
    <w:rsid w:val="00C84CC0"/>
    <w:rsid w:val="00CA192D"/>
    <w:rsid w:val="00CA55E9"/>
    <w:rsid w:val="00CB0C42"/>
    <w:rsid w:val="00CB1BF0"/>
    <w:rsid w:val="00CB465F"/>
    <w:rsid w:val="00CC654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678D2"/>
    <w:rsid w:val="00F726E6"/>
    <w:rsid w:val="00F81DED"/>
    <w:rsid w:val="00F830EB"/>
    <w:rsid w:val="00F914E2"/>
    <w:rsid w:val="00F94FC1"/>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ECA1BFB-3036-4BBA-86CE-EFC1FC7E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EE6FA-C7C5-4271-A8BE-B88A2CE4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Pages>
  <Words>2448</Words>
  <Characters>13954</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Ovidiu PANAITE</cp:lastModifiedBy>
  <cp:revision>56</cp:revision>
  <cp:lastPrinted>2017-06-16T11:23:00Z</cp:lastPrinted>
  <dcterms:created xsi:type="dcterms:W3CDTF">2016-03-28T21:22:00Z</dcterms:created>
  <dcterms:modified xsi:type="dcterms:W3CDTF">2017-06-21T12:17:00Z</dcterms:modified>
</cp:coreProperties>
</file>