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E481" w14:textId="3895751C"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Cerinţe minime de performanţă energetică pentru clădirile existente şi</w:t>
      </w:r>
    </w:p>
    <w:p w14:paraId="127F1B22" w14:textId="77777777"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14:paraId="00F90A17" w14:textId="032D7752"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14:paraId="6CC36A79" w14:textId="77777777"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14:paraId="2E91FB63" w14:textId="0FC69D8C"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</w:t>
      </w:r>
      <w:bookmarkStart w:id="0" w:name="_GoBack"/>
      <w:bookmarkEnd w:id="0"/>
      <w:r w:rsidR="00620CC4" w:rsidRPr="00AE7896">
        <w:rPr>
          <w:rFonts w:ascii="Trebuchet MS" w:hAnsi="Trebuchet MS" w:cs="Courier New"/>
          <w:lang w:val="ro-RO"/>
        </w:rPr>
        <w:t>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pentru clădirile existente (rezidențiale și nerezidențiale), inclusiv</w:t>
      </w:r>
    </w:p>
    <w:p w14:paraId="34E2AAD7" w14:textId="77777777"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14:paraId="275535CE" w14:textId="304DD653"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14:paraId="1FB0E7EC" w14:textId="77777777"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14:paraId="3AAE7BC6" w14:textId="60BE07BF"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14:paraId="3523F52F" w14:textId="77777777"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14:paraId="4BB197E4" w14:textId="48A730AB"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nr</w:t>
      </w:r>
      <w:proofErr w:type="spellEnd"/>
      <w:r w:rsidR="00F6343A" w:rsidRPr="00AE7896">
        <w:rPr>
          <w:rFonts w:ascii="Trebuchet MS" w:hAnsi="Trebuchet MS" w:cs="Courier New"/>
        </w:rPr>
        <w:t xml:space="preserve">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14:paraId="2A5E0AD0" w14:textId="77777777"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first" r:id="rId8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B0653" w14:textId="77777777" w:rsidR="00446161" w:rsidRDefault="00446161">
      <w:r>
        <w:separator/>
      </w:r>
    </w:p>
  </w:endnote>
  <w:endnote w:type="continuationSeparator" w:id="0">
    <w:p w14:paraId="769EE5F0" w14:textId="77777777" w:rsidR="00446161" w:rsidRDefault="0044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EE"/>
    <w:family w:val="roman"/>
    <w:pitch w:val="variable"/>
    <w:sig w:usb0="00000007" w:usb1="00000000" w:usb2="00000000" w:usb3="00000000" w:csb0="000000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FEAB2" w14:textId="77777777" w:rsidR="00446161" w:rsidRDefault="00446161">
      <w:r>
        <w:separator/>
      </w:r>
    </w:p>
  </w:footnote>
  <w:footnote w:type="continuationSeparator" w:id="0">
    <w:p w14:paraId="7143E688" w14:textId="77777777" w:rsidR="00446161" w:rsidRDefault="00446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860"/>
      <w:gridCol w:w="1786"/>
    </w:tblGrid>
    <w:tr w:rsidR="00620CC4" w14:paraId="58008904" w14:textId="77777777" w:rsidTr="00740A23">
      <w:trPr>
        <w:trHeight w:val="26"/>
      </w:trPr>
      <w:tc>
        <w:tcPr>
          <w:tcW w:w="6911" w:type="dxa"/>
        </w:tcPr>
        <w:tbl>
          <w:tblPr>
            <w:tblW w:w="8752" w:type="dxa"/>
            <w:tblInd w:w="108" w:type="dxa"/>
            <w:tblBorders>
              <w:insideH w:val="single" w:sz="4" w:space="0" w:color="808080"/>
            </w:tblBorders>
            <w:tblLook w:val="0000" w:firstRow="0" w:lastRow="0" w:firstColumn="0" w:lastColumn="0" w:noHBand="0" w:noVBand="0"/>
          </w:tblPr>
          <w:tblGrid>
            <w:gridCol w:w="8752"/>
          </w:tblGrid>
          <w:tr w:rsidR="00906EA9" w:rsidRPr="001F2E80" w14:paraId="7A7727E2" w14:textId="77777777" w:rsidTr="00C80953">
            <w:tblPrEx>
              <w:tblCellMar>
                <w:top w:w="0" w:type="dxa"/>
                <w:bottom w:w="0" w:type="dxa"/>
              </w:tblCellMar>
            </w:tblPrEx>
            <w:trPr>
              <w:trHeight w:val="294"/>
            </w:trPr>
            <w:tc>
              <w:tcPr>
                <w:tcW w:w="8752" w:type="dxa"/>
                <w:tcBorders>
                  <w:top w:val="nil"/>
                  <w:left w:val="nil"/>
                  <w:bottom w:val="single" w:sz="4" w:space="0" w:color="2E74B5"/>
                  <w:right w:val="nil"/>
                </w:tcBorders>
              </w:tcPr>
              <w:p w14:paraId="56C5B9D6" w14:textId="77777777" w:rsidR="00906EA9" w:rsidRDefault="00906EA9" w:rsidP="00906EA9">
                <w:pPr>
                  <w:pStyle w:val="Header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Ghidul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Solicitantului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–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Condiții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specifice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de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accesare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a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fondurilor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în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cadrul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apelului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de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proiecte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cu POR/2020/3/3.1/B/2/NE,SE,SM</w:t>
                </w:r>
              </w:p>
            </w:tc>
          </w:tr>
          <w:tr w:rsidR="00906EA9" w14:paraId="5B7DC6F7" w14:textId="77777777" w:rsidTr="00C80953">
            <w:tblPrEx>
              <w:tblCellMar>
                <w:top w:w="0" w:type="dxa"/>
                <w:bottom w:w="0" w:type="dxa"/>
              </w:tblCellMar>
            </w:tblPrEx>
            <w:trPr>
              <w:cantSplit/>
              <w:trHeight w:val="394"/>
            </w:trPr>
            <w:tc>
              <w:tcPr>
                <w:tcW w:w="8752" w:type="dxa"/>
                <w:tcBorders>
                  <w:top w:val="single" w:sz="4" w:space="0" w:color="2E74B5"/>
                  <w:left w:val="nil"/>
                  <w:bottom w:val="nil"/>
                  <w:right w:val="nil"/>
                </w:tcBorders>
              </w:tcPr>
              <w:p w14:paraId="14FD6CC9" w14:textId="77777777" w:rsidR="00D922FC" w:rsidRDefault="00906EA9" w:rsidP="00906EA9">
                <w:pPr>
                  <w:pStyle w:val="Header"/>
                  <w:rPr>
                    <w:rFonts w:ascii="Trebuchet MS" w:hAnsi="Trebuchet MS" w:cs="Arial"/>
                    <w:bCs/>
                    <w:spacing w:val="-10"/>
                    <w:sz w:val="18"/>
                    <w:szCs w:val="18"/>
                    <w:lang w:val="ro-RO"/>
                  </w:rPr>
                </w:pPr>
                <w:r>
                  <w:rPr>
                    <w:rFonts w:ascii="Trebuchet MS" w:hAnsi="Trebuchet MS" w:cs="Arial"/>
                    <w:bCs/>
                    <w:spacing w:val="-10"/>
                    <w:sz w:val="18"/>
                    <w:szCs w:val="18"/>
                    <w:lang w:val="ro-RO"/>
                  </w:rPr>
                  <w:t xml:space="preserve">                                                                                                                                                                      </w:t>
                </w:r>
              </w:p>
              <w:p w14:paraId="076FD881" w14:textId="5ADBEF83" w:rsidR="00906EA9" w:rsidRPr="00D922FC" w:rsidRDefault="00D922FC" w:rsidP="00906EA9">
                <w:pPr>
                  <w:pStyle w:val="Header"/>
                  <w:rPr>
                    <w:rFonts w:cs="Arial"/>
                    <w:color w:val="333333"/>
                    <w:sz w:val="18"/>
                    <w:szCs w:val="18"/>
                  </w:rPr>
                </w:pPr>
                <w:r>
                  <w:rPr>
                    <w:b/>
                    <w:bCs/>
                    <w:color w:val="808080"/>
                    <w:sz w:val="18"/>
                    <w:szCs w:val="18"/>
                  </w:rPr>
                  <w:t xml:space="preserve">                                                                                                                                                                   </w:t>
                </w:r>
                <w:proofErr w:type="spellStart"/>
                <w:r w:rsidR="00906EA9" w:rsidRPr="00D922FC">
                  <w:rPr>
                    <w:b/>
                    <w:bCs/>
                    <w:color w:val="808080"/>
                    <w:sz w:val="18"/>
                    <w:szCs w:val="18"/>
                  </w:rPr>
                  <w:t>Anexa</w:t>
                </w:r>
                <w:proofErr w:type="spellEnd"/>
                <w:r w:rsidR="00906EA9" w:rsidRPr="00D922FC">
                  <w:rPr>
                    <w:b/>
                    <w:bCs/>
                    <w:color w:val="808080"/>
                    <w:sz w:val="18"/>
                    <w:szCs w:val="18"/>
                  </w:rPr>
                  <w:t xml:space="preserve"> 3.1.B-3.f</w:t>
                </w:r>
                <w:r w:rsidR="00906EA9" w:rsidRPr="00D922FC">
                  <w:rPr>
                    <w:rFonts w:ascii="Trebuchet MS" w:hAnsi="Trebuchet MS" w:cs="Arial"/>
                    <w:bCs/>
                    <w:spacing w:val="-10"/>
                    <w:sz w:val="18"/>
                    <w:szCs w:val="18"/>
                    <w:lang w:val="ro-RO"/>
                  </w:rPr>
                  <w:t xml:space="preserve"> </w:t>
                </w:r>
                <w:r w:rsidR="00906EA9" w:rsidRPr="00D922FC">
                  <w:rPr>
                    <w:rFonts w:ascii="Trebuchet MS" w:hAnsi="Trebuchet MS" w:cs="Arial"/>
                    <w:b/>
                    <w:bCs/>
                    <w:spacing w:val="-10"/>
                    <w:sz w:val="18"/>
                    <w:szCs w:val="18"/>
                    <w:lang w:val="ro-RO"/>
                  </w:rPr>
                  <w:t xml:space="preserve">    </w:t>
                </w:r>
              </w:p>
              <w:p w14:paraId="4842093B" w14:textId="6311A0E2" w:rsidR="00906EA9" w:rsidRPr="001B7692" w:rsidRDefault="00906EA9" w:rsidP="00906EA9">
                <w:pPr>
                  <w:pStyle w:val="Header"/>
                  <w:jc w:val="right"/>
                  <w:rPr>
                    <w:rFonts w:cs="Arial"/>
                    <w:b/>
                    <w:bCs/>
                    <w:color w:val="333333"/>
                    <w:sz w:val="14"/>
                  </w:rPr>
                </w:pPr>
              </w:p>
              <w:p w14:paraId="2868E74A" w14:textId="77777777" w:rsidR="00906EA9" w:rsidRDefault="00906EA9" w:rsidP="00906EA9">
                <w:pPr>
                  <w:pStyle w:val="Header"/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</w:pPr>
              </w:p>
            </w:tc>
          </w:tr>
        </w:tbl>
        <w:p w14:paraId="4480259D" w14:textId="151B6386" w:rsidR="00620CC4" w:rsidRPr="00CD34FB" w:rsidRDefault="00620CC4" w:rsidP="004606DF">
          <w:pPr>
            <w:tabs>
              <w:tab w:val="left" w:pos="2451"/>
            </w:tabs>
            <w:rPr>
              <w:rFonts w:ascii="Trebuchet MS" w:hAnsi="Trebuchet MS"/>
            </w:rPr>
          </w:pPr>
          <w:r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75132D85" w14:textId="77777777" w:rsidR="00906EA9" w:rsidRDefault="00906EA9" w:rsidP="00740A23">
          <w:pPr>
            <w:pStyle w:val="Header"/>
            <w:rPr>
              <w:rFonts w:ascii="Trebuchet MS" w:eastAsia="MS Mincho" w:hAnsi="Trebuchet MS" w:cs="Trebuchet MS"/>
              <w:sz w:val="18"/>
              <w:szCs w:val="18"/>
            </w:rPr>
          </w:pPr>
        </w:p>
        <w:p w14:paraId="7BC64E7C" w14:textId="77777777" w:rsidR="00906EA9" w:rsidRDefault="00906EA9" w:rsidP="00740A23">
          <w:pPr>
            <w:pStyle w:val="Header"/>
            <w:rPr>
              <w:rFonts w:ascii="Trebuchet MS" w:eastAsia="MS Mincho" w:hAnsi="Trebuchet MS" w:cs="Trebuchet MS"/>
              <w:sz w:val="18"/>
              <w:szCs w:val="18"/>
            </w:rPr>
          </w:pPr>
        </w:p>
        <w:p w14:paraId="0EF0A35A" w14:textId="77777777" w:rsidR="00620CC4" w:rsidRDefault="00620CC4">
          <w:pPr>
            <w:pStyle w:val="MediumGrid21"/>
            <w:jc w:val="right"/>
          </w:pPr>
        </w:p>
        <w:p w14:paraId="40B76DEA" w14:textId="77777777" w:rsidR="00620CC4" w:rsidRDefault="00620CC4">
          <w:pPr>
            <w:pStyle w:val="MediumGrid21"/>
            <w:jc w:val="right"/>
          </w:pPr>
        </w:p>
      </w:tc>
    </w:tr>
  </w:tbl>
  <w:p w14:paraId="27954495" w14:textId="77777777"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 w15:restartNumberingAfterBreak="0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 w15:restartNumberingAfterBreak="0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 w15:restartNumberingAfterBreak="0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 w15:restartNumberingAfterBreak="0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 w15:restartNumberingAfterBreak="0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 w15:restartNumberingAfterBreak="0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030E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2B55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46161"/>
    <w:rsid w:val="00450A05"/>
    <w:rsid w:val="004606DF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660EB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77DE3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09F6"/>
    <w:rsid w:val="0085772C"/>
    <w:rsid w:val="0086601D"/>
    <w:rsid w:val="00870FC3"/>
    <w:rsid w:val="00871112"/>
    <w:rsid w:val="0088120B"/>
    <w:rsid w:val="008A0023"/>
    <w:rsid w:val="008A37D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06EA9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09A3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22E69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035E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22FC"/>
    <w:rsid w:val="00D97B3B"/>
    <w:rsid w:val="00DA0D5D"/>
    <w:rsid w:val="00DA1FA8"/>
    <w:rsid w:val="00DA344B"/>
    <w:rsid w:val="00DA5440"/>
    <w:rsid w:val="00DA5A8A"/>
    <w:rsid w:val="00DB1FAF"/>
    <w:rsid w:val="00DC5F8B"/>
    <w:rsid w:val="00DC6436"/>
    <w:rsid w:val="00DD6AB9"/>
    <w:rsid w:val="00DE219A"/>
    <w:rsid w:val="00E01E44"/>
    <w:rsid w:val="00E10E2A"/>
    <w:rsid w:val="00E1568A"/>
    <w:rsid w:val="00E30484"/>
    <w:rsid w:val="00E337A6"/>
    <w:rsid w:val="00E45F56"/>
    <w:rsid w:val="00E46B60"/>
    <w:rsid w:val="00E55105"/>
    <w:rsid w:val="00E57085"/>
    <w:rsid w:val="00E576B1"/>
    <w:rsid w:val="00E63148"/>
    <w:rsid w:val="00E70EAF"/>
    <w:rsid w:val="00E74909"/>
    <w:rsid w:val="00E852BB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  <w15:docId w15:val="{8FBC3DF3-BD6E-455D-814E-4ACF504E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3BB23-D154-4309-A02F-164020C1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 Varzaru</cp:lastModifiedBy>
  <cp:revision>10</cp:revision>
  <cp:lastPrinted>2020-02-19T13:27:00Z</cp:lastPrinted>
  <dcterms:created xsi:type="dcterms:W3CDTF">2017-06-14T10:04:00Z</dcterms:created>
  <dcterms:modified xsi:type="dcterms:W3CDTF">2020-02-19T13:27:00Z</dcterms:modified>
</cp:coreProperties>
</file>