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prevăzuţi în Ordinul MDRAPFE nr. 2461/2017.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consumului anual specific de energie primară pentru încălzire din 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pentru încălzire economisită la nivelul clădirii, utilizând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>ată de diferența dintre valoarea înregistrată</w:t>
            </w:r>
            <w:r w:rsidRPr="00B72B68">
              <w:t xml:space="preserve"> la finalul imple</w:t>
            </w:r>
            <w:r w:rsidR="00C269B2">
              <w:t xml:space="preserve">mentării proiectului și </w:t>
            </w:r>
            <w:r w:rsidR="00C269B2">
              <w:lastRenderedPageBreak/>
              <w:t>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</w:t>
            </w:r>
            <w:r w:rsidR="00191B01">
              <w:t xml:space="preserve">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bookmarkStart w:id="0" w:name="_GoBack"/>
            <w:bookmarkEnd w:id="0"/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performanță </w:t>
            </w:r>
            <w:r w:rsidRPr="00B72B68">
              <w:lastRenderedPageBreak/>
              <w:t>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 finală în clădirile publice din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>
              <w:t>putul implementării proiectului.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1EF" w:rsidRDefault="005061EF" w:rsidP="00995C14">
      <w:pPr>
        <w:spacing w:before="0" w:after="0"/>
      </w:pPr>
      <w:r>
        <w:separator/>
      </w:r>
    </w:p>
  </w:endnote>
  <w:endnote w:type="continuationSeparator" w:id="0">
    <w:p w:rsidR="005061EF" w:rsidRDefault="005061EF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B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1EF" w:rsidRDefault="005061EF" w:rsidP="00995C14">
      <w:pPr>
        <w:spacing w:before="0" w:after="0"/>
      </w:pPr>
      <w:r>
        <w:separator/>
      </w:r>
    </w:p>
  </w:footnote>
  <w:footnote w:type="continuationSeparator" w:id="0">
    <w:p w:rsidR="005061EF" w:rsidRDefault="005061EF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1F2C2E">
      <w:rPr>
        <w:rFonts w:cs="Arial"/>
        <w:b/>
        <w:bCs/>
        <w:color w:val="333333"/>
        <w:sz w:val="14"/>
      </w:rPr>
      <w:t xml:space="preserve">rul apelurilor </w:t>
    </w:r>
    <w:r w:rsidR="00DC2A0A">
      <w:rPr>
        <w:rFonts w:cs="Arial"/>
        <w:b/>
        <w:bCs/>
        <w:color w:val="333333"/>
        <w:sz w:val="14"/>
      </w:rPr>
      <w:t xml:space="preserve">de proiecte </w:t>
    </w:r>
    <w:r w:rsidR="001F2C2E" w:rsidRPr="001F2C2E">
      <w:rPr>
        <w:rFonts w:cs="Arial"/>
        <w:b/>
        <w:bCs/>
        <w:color w:val="333333"/>
        <w:sz w:val="14"/>
      </w:rPr>
      <w:t>cu titlul POR/2016/3/3.1/B/1/7REGIUNI și POR/2016/3/3.1/B/1/BI</w:t>
    </w: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60232"/>
    <w:rsid w:val="0046031A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6FEE"/>
    <w:rsid w:val="009543C8"/>
    <w:rsid w:val="00960285"/>
    <w:rsid w:val="009629AE"/>
    <w:rsid w:val="00995C14"/>
    <w:rsid w:val="009B3FFC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4F2A"/>
    <w:rsid w:val="00DB0D4E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5B0A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29317F-C421-44F3-818E-34C7F51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FE89-D73C-46B1-8528-6675C1DD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834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21</cp:revision>
  <cp:lastPrinted>2016-12-12T14:15:00Z</cp:lastPrinted>
  <dcterms:created xsi:type="dcterms:W3CDTF">2016-12-12T10:37:00Z</dcterms:created>
  <dcterms:modified xsi:type="dcterms:W3CDTF">2017-05-26T09:58:00Z</dcterms:modified>
</cp:coreProperties>
</file>