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Pr>
          <w:rFonts w:asciiTheme="minorHAnsi" w:eastAsiaTheme="minorHAnsi" w:hAnsiTheme="minorHAnsi"/>
          <w:bCs w:val="0"/>
          <w:sz w:val="22"/>
          <w:szCs w:val="22"/>
        </w:rPr>
        <w:t>A-3</w:t>
      </w:r>
      <w:r w:rsidR="00376712">
        <w:rPr>
          <w:rFonts w:asciiTheme="minorHAnsi" w:eastAsiaTheme="minorHAnsi" w:hAnsiTheme="minorHAnsi"/>
          <w:bCs w:val="0"/>
          <w:sz w:val="22"/>
          <w:szCs w:val="22"/>
        </w:rPr>
        <w:t>.</w:t>
      </w:r>
      <w:r>
        <w:rPr>
          <w:rFonts w:asciiTheme="minorHAnsi" w:eastAsiaTheme="minorHAnsi" w:hAnsiTheme="minorHAnsi"/>
          <w:bCs w:val="0"/>
          <w:sz w:val="22"/>
          <w:szCs w:val="22"/>
        </w:rPr>
        <w:t>b</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w:t>
      </w:r>
      <w:bookmarkStart w:id="0" w:name="_GoBack"/>
      <w:bookmarkEnd w:id="0"/>
      <w:r w:rsidR="005F52A3" w:rsidRPr="00E34897">
        <w:rPr>
          <w:rFonts w:cs="Arial"/>
          <w:b/>
          <w:lang w:val="ro-RO"/>
        </w:rPr>
        <w:t>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BB57B1" w:rsidRPr="00E96842" w:rsidRDefault="00E96842" w:rsidP="00E96842">
      <w:pPr>
        <w:pStyle w:val="ListParagraph"/>
        <w:numPr>
          <w:ilvl w:val="0"/>
          <w:numId w:val="41"/>
        </w:numPr>
        <w:spacing w:before="120" w:after="120" w:line="240" w:lineRule="auto"/>
        <w:jc w:val="center"/>
        <w:rPr>
          <w:b/>
        </w:rPr>
      </w:pPr>
      <w:r>
        <w:rPr>
          <w:b/>
        </w:rPr>
        <w:t>Conform</w:t>
      </w:r>
      <w:r w:rsidR="007B77EC" w:rsidRPr="00E96842">
        <w:rPr>
          <w:b/>
        </w:rPr>
        <w:t xml:space="preserve"> </w:t>
      </w:r>
      <w:r w:rsidRPr="00E96842">
        <w:rPr>
          <w:b/>
        </w:rPr>
        <w:t>HG 28/2008,</w:t>
      </w:r>
      <w:r w:rsidR="007B77EC" w:rsidRPr="00E96842">
        <w:rPr>
          <w:b/>
        </w:rPr>
        <w:t xml:space="preserve"> cu modificările şi completările ulterioare</w:t>
      </w:r>
      <w:r w:rsidRPr="00E96842">
        <w:rPr>
          <w:b/>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r>
              <w:rPr>
                <w:rFonts w:cs="Arial"/>
              </w:rPr>
              <w:t>data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bl>
    <w:p w:rsidR="00F30874" w:rsidRDefault="00F30874"/>
    <w:p w:rsidR="006647BF" w:rsidRDefault="006647BF"/>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va fi respins</w:t>
      </w:r>
      <w:r w:rsidR="00ED51FD" w:rsidRPr="00CC1DF5">
        <w:rPr>
          <w:rFonts w:ascii="Trebuchet MS" w:eastAsia="Calibri" w:hAnsi="Trebuchet MS" w:cs="Arial"/>
          <w:sz w:val="20"/>
          <w:szCs w:val="20"/>
          <w:lang w:val="ro-RO"/>
        </w:rPr>
        <w:t>ă/respins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6E3CF3" w:rsidRPr="00CC1DF5">
        <w:rPr>
          <w:rFonts w:ascii="Trebuchet MS" w:eastAsia="Calibri" w:hAnsi="Trebuchet MS" w:cs="Arial"/>
          <w:sz w:val="20"/>
          <w:szCs w:val="20"/>
          <w:lang w:val="ro-RO"/>
        </w:rPr>
        <w:t xml:space="preserve">n care </w:t>
      </w:r>
      <w:r w:rsidR="00ED51FD" w:rsidRPr="00CC1DF5">
        <w:rPr>
          <w:rFonts w:ascii="Trebuchet MS" w:eastAsia="Calibri" w:hAnsi="Trebuchet MS" w:cs="Arial"/>
          <w:sz w:val="20"/>
          <w:szCs w:val="20"/>
          <w:lang w:val="ro-RO"/>
        </w:rPr>
        <w:t>componenta v</w:t>
      </w:r>
      <w:r w:rsidRPr="00CC1DF5">
        <w:rPr>
          <w:rFonts w:ascii="Trebuchet MS" w:eastAsia="Calibri" w:hAnsi="Trebuchet MS" w:cs="Arial"/>
          <w:sz w:val="20"/>
          <w:szCs w:val="20"/>
          <w:lang w:val="ro-RO"/>
        </w:rPr>
        <w:t>a fi respins</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D51FD" w:rsidRPr="00CC1DF5">
        <w:rPr>
          <w:rFonts w:ascii="Trebuchet MS" w:eastAsia="Calibri" w:hAnsi="Trebuchet MS" w:cs="Arial"/>
          <w:sz w:val="20"/>
          <w:szCs w:val="20"/>
          <w:lang w:val="ro-RO"/>
        </w:rPr>
        <w:t xml:space="preserve">se poate respinge o componentă/proiect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 xml:space="preserve">fecta </w:t>
      </w:r>
      <w:r>
        <w:rPr>
          <w:rFonts w:ascii="Trebuchet MS" w:eastAsia="Calibri" w:hAnsi="Trebuchet MS" w:cs="Arial"/>
          <w:sz w:val="20"/>
          <w:szCs w:val="20"/>
          <w:lang w:val="ro-RO"/>
        </w:rPr>
        <w:lastRenderedPageBreak/>
        <w:t>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801E07" w:rsidRDefault="00801E07"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6E3CF3" w:rsidRDefault="006E3CF3" w:rsidP="00086B3C">
      <w:pPr>
        <w:jc w:val="both"/>
        <w:rPr>
          <w:rFonts w:ascii="Trebuchet MS" w:hAnsi="Trebuchet MS" w:cs="Arial"/>
          <w:b/>
          <w:sz w:val="20"/>
          <w:szCs w:val="20"/>
          <w:lang w:val="ro-RO"/>
        </w:rPr>
      </w:pP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AE435C" w:rsidRPr="002948B1" w:rsidRDefault="00AE435C" w:rsidP="00AE435C">
      <w:pPr>
        <w:tabs>
          <w:tab w:val="left" w:pos="928"/>
        </w:tabs>
        <w:rPr>
          <w:rFonts w:ascii="Trebuchet MS" w:eastAsia="Cambria" w:hAnsi="Trebuchet MS" w:cs="Arial"/>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Pr="009A49EB" w:rsidRDefault="007B77EC" w:rsidP="007B77EC">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7B77EC" w:rsidRPr="009A49EB" w:rsidRDefault="007B77EC" w:rsidP="007B77EC">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7B77EC" w:rsidRPr="00E078DB" w:rsidRDefault="007B77EC" w:rsidP="007B77EC">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7B77EC" w:rsidRPr="00E34897" w:rsidRDefault="007B77EC" w:rsidP="007B77EC">
      <w:pPr>
        <w:spacing w:before="120" w:after="120" w:line="240" w:lineRule="auto"/>
        <w:jc w:val="center"/>
        <w:rPr>
          <w:rFonts w:cs="Arial"/>
          <w:b/>
          <w:lang w:val="ro-RO"/>
        </w:rPr>
      </w:pPr>
      <w:r w:rsidRPr="00E078DB">
        <w:rPr>
          <w:b/>
        </w:rPr>
        <w:t>(conform HG 907/2016</w:t>
      </w:r>
      <w:r>
        <w:rPr>
          <w:b/>
        </w:rPr>
        <w:t>, cu modificările şi completările ulterioare</w:t>
      </w:r>
      <w:r w:rsidRPr="00E078DB">
        <w:rPr>
          <w:b/>
        </w:rPr>
        <w:t>)</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 xml:space="preserve">nr.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a) clasa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b) prezentarea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d) recomandarea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analiza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caracteristicile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Durata de realizare şi etapele principale corelate cu datele prevăzute în graficul orientativ de realizare a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Comparaţia scenariilor/opţiunilor propus(e),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Selectarea şi justificarea scenariului/opţiunii optim(e),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raport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r w:rsidRPr="001B7063">
              <w:rPr>
                <w:rFonts w:ascii="Trebuchet MS" w:hAnsi="Trebuchet MS"/>
                <w:sz w:val="20"/>
                <w:szCs w:val="20"/>
              </w:rPr>
              <w:t>studiu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studii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rPr>
              <w:t>proiectantul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620"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rPr>
              <w:t>respectă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620"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620"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620"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620"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larificări/completări, componenta</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componenta</w:t>
      </w:r>
      <w:r>
        <w:rPr>
          <w:rFonts w:ascii="Trebuchet MS" w:eastAsia="Calibri" w:hAnsi="Trebuchet MS" w:cs="Arial"/>
          <w:sz w:val="20"/>
          <w:szCs w:val="20"/>
          <w:lang w:val="ro-RO"/>
        </w:rPr>
        <w:t xml:space="preserve"> va fi respins</w:t>
      </w:r>
      <w:r w:rsidR="004D6B9F">
        <w:rPr>
          <w:rFonts w:ascii="Trebuchet MS" w:eastAsia="Calibri" w:hAnsi="Trebuchet MS" w:cs="Arial"/>
          <w:sz w:val="20"/>
          <w:szCs w:val="20"/>
          <w:lang w:val="ro-RO"/>
        </w:rPr>
        <w:t>ă</w:t>
      </w:r>
      <w:r>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ă etapă, nu se poate respinge o componentă/</w:t>
      </w:r>
      <w:r>
        <w:rPr>
          <w:rFonts w:ascii="Trebuchet MS" w:eastAsia="Calibri" w:hAnsi="Trebuchet MS" w:cs="Arial"/>
          <w:sz w:val="20"/>
          <w:szCs w:val="20"/>
          <w:lang w:val="ro-RO"/>
        </w:rPr>
        <w:t xml:space="preserve">proiect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sectPr w:rsidR="00024948"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AB1" w:rsidRDefault="002D7AB1" w:rsidP="002164BC">
      <w:pPr>
        <w:spacing w:after="0" w:line="240" w:lineRule="auto"/>
      </w:pPr>
      <w:r>
        <w:separator/>
      </w:r>
    </w:p>
  </w:endnote>
  <w:endnote w:type="continuationSeparator" w:id="0">
    <w:p w:rsidR="002D7AB1" w:rsidRDefault="002D7AB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AB1" w:rsidRDefault="002D7AB1" w:rsidP="002164BC">
      <w:pPr>
        <w:spacing w:after="0" w:line="240" w:lineRule="auto"/>
      </w:pPr>
      <w:r>
        <w:separator/>
      </w:r>
    </w:p>
  </w:footnote>
  <w:footnote w:type="continuationSeparator" w:id="0">
    <w:p w:rsidR="002D7AB1" w:rsidRDefault="002D7AB1" w:rsidP="002164BC">
      <w:pPr>
        <w:spacing w:after="0" w:line="240" w:lineRule="auto"/>
      </w:pPr>
      <w:r>
        <w:continuationSeparator/>
      </w:r>
    </w:p>
  </w:footnote>
  <w:footnote w:id="1">
    <w:p w:rsidR="009D281F" w:rsidRPr="00D5422A" w:rsidRDefault="009D281F"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81F" w:rsidRPr="00C93BDF" w:rsidRDefault="009D281F" w:rsidP="00C93BDF">
    <w:pPr>
      <w:pStyle w:val="Header"/>
      <w:ind w:left="3600"/>
      <w:rPr>
        <w:rFonts w:cs="Arial"/>
        <w:b/>
        <w:bCs/>
        <w:color w:val="333333"/>
        <w:sz w:val="14"/>
      </w:rPr>
    </w:pPr>
    <w:r w:rsidRPr="00230B94">
      <w:rPr>
        <w:rFonts w:cs="Arial"/>
        <w:b/>
        <w:bCs/>
        <w:color w:val="333333"/>
        <w:sz w:val="14"/>
      </w:rPr>
      <w:t>Ghidul Solicitantului – Condiții specifice de accesare a</w:t>
    </w:r>
    <w:r w:rsidR="00C93BDF">
      <w:rPr>
        <w:rFonts w:cs="Arial"/>
        <w:b/>
        <w:bCs/>
        <w:color w:val="333333"/>
        <w:sz w:val="14"/>
      </w:rPr>
      <w:t xml:space="preserve"> fondurilor în cadrul apelului</w:t>
    </w:r>
    <w:r w:rsidRPr="00230B94">
      <w:rPr>
        <w:rFonts w:cs="Arial"/>
        <w:b/>
        <w:bCs/>
        <w:color w:val="333333"/>
        <w:sz w:val="14"/>
      </w:rPr>
      <w:t xml:space="preserve"> de proiecte cu titlul </w:t>
    </w:r>
    <w:r w:rsidR="00C93BDF">
      <w:rPr>
        <w:rFonts w:cs="Arial"/>
        <w:b/>
        <w:bCs/>
        <w:color w:val="333333"/>
        <w:sz w:val="14"/>
      </w:rPr>
      <w:t xml:space="preserve"> </w:t>
    </w:r>
    <w:r w:rsidR="00B97EC6" w:rsidRPr="00B97EC6">
      <w:rPr>
        <w:rFonts w:cs="Arial"/>
        <w:b/>
        <w:bCs/>
        <w:color w:val="333333"/>
        <w:sz w:val="14"/>
      </w:rPr>
      <w:t>POR/2020/3/3.1/A/3/NE,SE,SM,C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9"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5"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6"/>
  </w:num>
  <w:num w:numId="2">
    <w:abstractNumId w:val="9"/>
  </w:num>
  <w:num w:numId="3">
    <w:abstractNumId w:val="27"/>
  </w:num>
  <w:num w:numId="4">
    <w:abstractNumId w:val="11"/>
  </w:num>
  <w:num w:numId="5">
    <w:abstractNumId w:val="5"/>
  </w:num>
  <w:num w:numId="6">
    <w:abstractNumId w:val="20"/>
  </w:num>
  <w:num w:numId="7">
    <w:abstractNumId w:val="14"/>
  </w:num>
  <w:num w:numId="8">
    <w:abstractNumId w:val="1"/>
  </w:num>
  <w:num w:numId="9">
    <w:abstractNumId w:val="40"/>
  </w:num>
  <w:num w:numId="10">
    <w:abstractNumId w:val="36"/>
  </w:num>
  <w:num w:numId="11">
    <w:abstractNumId w:val="6"/>
  </w:num>
  <w:num w:numId="12">
    <w:abstractNumId w:val="10"/>
  </w:num>
  <w:num w:numId="13">
    <w:abstractNumId w:val="30"/>
  </w:num>
  <w:num w:numId="14">
    <w:abstractNumId w:val="0"/>
  </w:num>
  <w:num w:numId="15">
    <w:abstractNumId w:val="12"/>
  </w:num>
  <w:num w:numId="16">
    <w:abstractNumId w:val="38"/>
  </w:num>
  <w:num w:numId="17">
    <w:abstractNumId w:val="22"/>
  </w:num>
  <w:num w:numId="18">
    <w:abstractNumId w:val="37"/>
  </w:num>
  <w:num w:numId="19">
    <w:abstractNumId w:val="18"/>
  </w:num>
  <w:num w:numId="20">
    <w:abstractNumId w:val="2"/>
  </w:num>
  <w:num w:numId="21">
    <w:abstractNumId w:val="15"/>
  </w:num>
  <w:num w:numId="22">
    <w:abstractNumId w:val="31"/>
  </w:num>
  <w:num w:numId="23">
    <w:abstractNumId w:val="16"/>
  </w:num>
  <w:num w:numId="24">
    <w:abstractNumId w:val="7"/>
  </w:num>
  <w:num w:numId="25">
    <w:abstractNumId w:val="3"/>
  </w:num>
  <w:num w:numId="26">
    <w:abstractNumId w:val="24"/>
  </w:num>
  <w:num w:numId="27">
    <w:abstractNumId w:val="4"/>
  </w:num>
  <w:num w:numId="28">
    <w:abstractNumId w:val="34"/>
  </w:num>
  <w:num w:numId="29">
    <w:abstractNumId w:val="35"/>
  </w:num>
  <w:num w:numId="30">
    <w:abstractNumId w:val="28"/>
  </w:num>
  <w:num w:numId="31">
    <w:abstractNumId w:val="29"/>
  </w:num>
  <w:num w:numId="32">
    <w:abstractNumId w:val="8"/>
  </w:num>
  <w:num w:numId="33">
    <w:abstractNumId w:val="33"/>
  </w:num>
  <w:num w:numId="34">
    <w:abstractNumId w:val="13"/>
  </w:num>
  <w:num w:numId="35">
    <w:abstractNumId w:val="25"/>
  </w:num>
  <w:num w:numId="36">
    <w:abstractNumId w:val="39"/>
  </w:num>
  <w:num w:numId="37">
    <w:abstractNumId w:val="23"/>
  </w:num>
  <w:num w:numId="38">
    <w:abstractNumId w:val="32"/>
  </w:num>
  <w:num w:numId="39">
    <w:abstractNumId w:val="17"/>
  </w:num>
  <w:num w:numId="40">
    <w:abstractNumId w:val="19"/>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51869"/>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75F0"/>
    <w:rsid w:val="0012250C"/>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D7AB1"/>
    <w:rsid w:val="002E4CEF"/>
    <w:rsid w:val="002F30CB"/>
    <w:rsid w:val="002F603D"/>
    <w:rsid w:val="002F6212"/>
    <w:rsid w:val="002F6A36"/>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027CB"/>
    <w:rsid w:val="00414BB5"/>
    <w:rsid w:val="00426B97"/>
    <w:rsid w:val="004372DA"/>
    <w:rsid w:val="00451AEB"/>
    <w:rsid w:val="00454128"/>
    <w:rsid w:val="00456432"/>
    <w:rsid w:val="004802BA"/>
    <w:rsid w:val="00485287"/>
    <w:rsid w:val="004873B1"/>
    <w:rsid w:val="0049124E"/>
    <w:rsid w:val="004912A7"/>
    <w:rsid w:val="0049660B"/>
    <w:rsid w:val="004A1765"/>
    <w:rsid w:val="004A57FD"/>
    <w:rsid w:val="004B3728"/>
    <w:rsid w:val="004C034F"/>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64426"/>
    <w:rsid w:val="006647BF"/>
    <w:rsid w:val="006870EF"/>
    <w:rsid w:val="00687BCD"/>
    <w:rsid w:val="006C3A1E"/>
    <w:rsid w:val="006C67FE"/>
    <w:rsid w:val="006C77FA"/>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B0BED"/>
    <w:rsid w:val="007B2B2A"/>
    <w:rsid w:val="007B2E5F"/>
    <w:rsid w:val="007B77EC"/>
    <w:rsid w:val="007C01B8"/>
    <w:rsid w:val="007D556E"/>
    <w:rsid w:val="007D6E80"/>
    <w:rsid w:val="007E7262"/>
    <w:rsid w:val="007F1919"/>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281F"/>
    <w:rsid w:val="009E4537"/>
    <w:rsid w:val="009E45B1"/>
    <w:rsid w:val="009E65A7"/>
    <w:rsid w:val="009E68A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97EC6"/>
    <w:rsid w:val="00BA5DA5"/>
    <w:rsid w:val="00BB57B1"/>
    <w:rsid w:val="00BB5C17"/>
    <w:rsid w:val="00BC12FF"/>
    <w:rsid w:val="00BC4CE1"/>
    <w:rsid w:val="00BC7EC4"/>
    <w:rsid w:val="00BD2AC9"/>
    <w:rsid w:val="00BD7F96"/>
    <w:rsid w:val="00BE38AC"/>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70EAF"/>
    <w:rsid w:val="00C740F9"/>
    <w:rsid w:val="00C74CCB"/>
    <w:rsid w:val="00C80D42"/>
    <w:rsid w:val="00C84CC0"/>
    <w:rsid w:val="00C93BDF"/>
    <w:rsid w:val="00CA55E9"/>
    <w:rsid w:val="00CB0C42"/>
    <w:rsid w:val="00CB1BF0"/>
    <w:rsid w:val="00CC1DF5"/>
    <w:rsid w:val="00CC654F"/>
    <w:rsid w:val="00CD30AB"/>
    <w:rsid w:val="00CD539F"/>
    <w:rsid w:val="00CE13FA"/>
    <w:rsid w:val="00CE2C28"/>
    <w:rsid w:val="00CF1B49"/>
    <w:rsid w:val="00D01F01"/>
    <w:rsid w:val="00D03E3C"/>
    <w:rsid w:val="00D10270"/>
    <w:rsid w:val="00D17FED"/>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6019"/>
    <w:rsid w:val="00DA0849"/>
    <w:rsid w:val="00DA1731"/>
    <w:rsid w:val="00DA1E0F"/>
    <w:rsid w:val="00DA35F0"/>
    <w:rsid w:val="00DB1003"/>
    <w:rsid w:val="00DB2575"/>
    <w:rsid w:val="00DB36E4"/>
    <w:rsid w:val="00DB37B6"/>
    <w:rsid w:val="00DC09AE"/>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67CC"/>
    <w:rsid w:val="00EC336B"/>
    <w:rsid w:val="00EC3B08"/>
    <w:rsid w:val="00EC4A83"/>
    <w:rsid w:val="00EC6825"/>
    <w:rsid w:val="00ED04BC"/>
    <w:rsid w:val="00ED16DD"/>
    <w:rsid w:val="00ED3CA9"/>
    <w:rsid w:val="00ED51FD"/>
    <w:rsid w:val="00ED621B"/>
    <w:rsid w:val="00EE1EEB"/>
    <w:rsid w:val="00EE2A6E"/>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A74EC"/>
    <w:rsid w:val="00FB17CE"/>
    <w:rsid w:val="00FB27C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672B0-9CB5-4638-BD56-752999481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14</Pages>
  <Words>5046</Words>
  <Characters>29273</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45</cp:revision>
  <cp:lastPrinted>2017-07-20T13:29:00Z</cp:lastPrinted>
  <dcterms:created xsi:type="dcterms:W3CDTF">2017-06-29T13:50:00Z</dcterms:created>
  <dcterms:modified xsi:type="dcterms:W3CDTF">2020-01-28T12:04:00Z</dcterms:modified>
</cp:coreProperties>
</file>