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Pr="000F658A" w:rsidRDefault="007D058B" w:rsidP="007D058B">
      <w:pPr>
        <w:pStyle w:val="Normal1"/>
        <w:spacing w:before="0" w:after="0"/>
        <w:rPr>
          <w:b/>
          <w:u w:val="single"/>
        </w:rPr>
      </w:pPr>
      <w:r w:rsidRPr="000F658A">
        <w:rPr>
          <w:b/>
          <w:u w:val="single"/>
        </w:rPr>
        <w:t xml:space="preserve">Descrierea indicatorilor – secțiunile 1.5 și 1.6 ale Ghidului Solicitantului. Condiții specifice de accesare a fondurilor în cadrul apelului de proiecte </w:t>
      </w:r>
      <w:r>
        <w:rPr>
          <w:b/>
          <w:u w:val="single"/>
        </w:rPr>
        <w:t>nr. POR/</w:t>
      </w:r>
      <w:r w:rsidRPr="000F658A">
        <w:rPr>
          <w:b/>
          <w:u w:val="single"/>
        </w:rPr>
        <w:t>2016/3/3.1/A/</w:t>
      </w:r>
      <w:r w:rsidR="00490EFD">
        <w:rPr>
          <w:b/>
          <w:u w:val="single"/>
        </w:rPr>
        <w:t>ITI</w:t>
      </w:r>
      <w:r w:rsidRPr="000F658A">
        <w:rPr>
          <w:b/>
          <w:u w:val="single"/>
        </w:rPr>
        <w:t>1 Axa Prioritară 3, Prioritatea de investiții 3.1 Operațiunea A – Clădiri rezidențiale</w:t>
      </w:r>
    </w:p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Pr="000F658A" w:rsidRDefault="007D058B" w:rsidP="007D058B">
      <w:pPr>
        <w:pStyle w:val="Normal1"/>
        <w:spacing w:before="0" w:after="0"/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0F658A" w:rsidRDefault="007D058B" w:rsidP="003D2429">
            <w:pPr>
              <w:pStyle w:val="Normal1"/>
              <w:spacing w:before="0" w:after="0"/>
            </w:pPr>
            <w:r w:rsidRPr="000F658A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5C24DD" w:rsidRDefault="007D058B" w:rsidP="003D2429">
            <w:pPr>
              <w:pStyle w:val="Normal1"/>
              <w:spacing w:before="0" w:after="0"/>
            </w:pPr>
            <w:r w:rsidRPr="005C24DD">
              <w:t>Se referă la cantitatea de gaze cu efect de seră economisită într-un an</w:t>
            </w:r>
            <w:r>
              <w:t xml:space="preserve"> ca urmare a implementării proiectului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2B174F" w:rsidRDefault="00352B63" w:rsidP="003D2429">
            <w:pPr>
              <w:pStyle w:val="Normal1"/>
              <w:spacing w:before="0" w:after="0"/>
            </w:pPr>
            <w:r w:rsidRPr="002B174F">
              <w:t>Echivalent tone de CO</w:t>
            </w:r>
            <w:r w:rsidRPr="002B174F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BF2E58">
              <w:t xml:space="preserve">Valoarea indicatorului anual se va obține prin </w:t>
            </w:r>
            <w:r w:rsidRPr="00CE475D">
              <w:t>în</w:t>
            </w:r>
            <w:r w:rsidRPr="00BF2E58">
              <w:t>mulțirea valorii indicelui</w:t>
            </w:r>
            <w:r>
              <w:t xml:space="preserve"> anual de emisii echivalent CO2 </w:t>
            </w:r>
            <w:r w:rsidRPr="00BF2E58">
              <w:t xml:space="preserve">cu suprafața utilă a clădirii.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 w:rsidRPr="00CE475D">
              <w:t>Indicel</w:t>
            </w:r>
            <w:r>
              <w:t>e</w:t>
            </w:r>
            <w:r w:rsidRPr="00CE475D">
              <w:t xml:space="preserve"> anual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 w:rsidRPr="00BF2E58">
              <w:t>Scăder</w:t>
            </w:r>
            <w:r>
              <w:t>ea anuală</w:t>
            </w:r>
            <w:r w:rsidRPr="00BF2E58">
              <w:t xml:space="preserve"> </w:t>
            </w:r>
            <w:r>
              <w:t xml:space="preserve">estimată a gazelor cu efect de seră </w:t>
            </w:r>
            <w:r w:rsidRPr="00BF2E58">
              <w:t xml:space="preserve">este dată de diferența dintre valorile </w:t>
            </w:r>
            <w:r>
              <w:t xml:space="preserve">înregistrate la </w:t>
            </w:r>
            <w:r w:rsidRPr="00BF2E58">
              <w:t>finalul implementării proiectului (estimate prin măsurile/pachetele de măsuri propuse pri</w:t>
            </w:r>
            <w:r>
              <w:t>n Raportul de audit energetic) ș</w:t>
            </w:r>
            <w:r w:rsidRPr="00BF2E58">
              <w:t xml:space="preserve">i valorile </w:t>
            </w:r>
            <w:r>
              <w:t xml:space="preserve">înregistrate </w:t>
            </w:r>
            <w:r w:rsidR="00AB69E4">
              <w:t>la  î</w:t>
            </w:r>
            <w:r w:rsidRPr="00BF2E58">
              <w:t>nceputul implem</w:t>
            </w:r>
            <w:r>
              <w:t>e</w:t>
            </w:r>
            <w:r w:rsidRPr="00BF2E58">
              <w:t>nt</w:t>
            </w:r>
            <w:r>
              <w:t>ă</w:t>
            </w:r>
            <w:r w:rsidRPr="00BF2E58">
              <w:t>rii proiectului</w:t>
            </w:r>
            <w:r>
              <w:t xml:space="preserve"> </w:t>
            </w:r>
            <w:r w:rsidRPr="00BF2E58">
              <w:t>calculate pentru clădire (precizate în Certificatul de performanţă energetic</w:t>
            </w:r>
            <w:r>
              <w:t>ă</w:t>
            </w:r>
            <w:r w:rsidRPr="00BF2E58">
              <w:t xml:space="preserve"> a clădirii)</w:t>
            </w:r>
            <w:r>
              <w:t xml:space="preserve">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BF2E58" w:rsidRDefault="007D058B" w:rsidP="003D2429">
            <w:pPr>
              <w:pStyle w:val="Normal1"/>
              <w:spacing w:before="0" w:after="0"/>
            </w:pPr>
            <w:r w:rsidRPr="004A74A1">
              <w:t xml:space="preserve">Potrivit metodologiei, pentru masura/pachetul de măsuri se recalculează consumurile energetice, costurile şi durata corespunzătoare </w:t>
            </w:r>
            <w:r w:rsidRPr="004A74A1">
              <w:lastRenderedPageBreak/>
              <w:t xml:space="preserve">de recuperare a implementării măsurilor/pachetelor. </w:t>
            </w:r>
            <w:r>
              <w:t xml:space="preserve">Se recomandă să se solicite și </w:t>
            </w:r>
            <w:r w:rsidRPr="004A74A1">
              <w:t>estimarea reducerii anuale a emisiilor, pe măsuri sau pe pachete de măsuri.</w:t>
            </w:r>
          </w:p>
        </w:tc>
        <w:tc>
          <w:tcPr>
            <w:tcW w:w="1843" w:type="dxa"/>
          </w:tcPr>
          <w:p w:rsidR="007D058B" w:rsidRPr="004A74A1" w:rsidRDefault="007D058B" w:rsidP="003D2429">
            <w:pPr>
              <w:pStyle w:val="Normal1"/>
              <w:spacing w:before="0" w:after="0"/>
            </w:pPr>
            <w:r w:rsidRPr="004A74A1">
              <w:lastRenderedPageBreak/>
              <w:t>Raportul de audit energetic/ Certificatul de performanţă energetică</w:t>
            </w:r>
          </w:p>
        </w:tc>
      </w:tr>
      <w:tr w:rsidR="007D058B" w:rsidTr="004028E9">
        <w:tc>
          <w:tcPr>
            <w:tcW w:w="2943" w:type="dxa"/>
          </w:tcPr>
          <w:p w:rsidR="007D058B" w:rsidRPr="000F658A" w:rsidRDefault="007D058B" w:rsidP="003D2429">
            <w:pPr>
              <w:pStyle w:val="Normal1"/>
              <w:spacing w:before="0" w:after="0"/>
            </w:pPr>
            <w:r w:rsidRPr="000F658A">
              <w:lastRenderedPageBreak/>
              <w:t xml:space="preserve">Numărul gospodăriilor cu o clasificare mai bună a consumului de energie </w:t>
            </w:r>
          </w:p>
        </w:tc>
        <w:tc>
          <w:tcPr>
            <w:tcW w:w="2552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gospodăriile </w:t>
            </w:r>
            <w:r w:rsidRPr="004A1DF8">
              <w:t>care obțin o clasificare m</w:t>
            </w:r>
            <w:r>
              <w:t xml:space="preserve">ai bună a consumului de energie </w:t>
            </w:r>
            <w:r w:rsidRPr="004A1DF8">
              <w:t xml:space="preserve">după implementarea proiectului comparativ cu situația inițială. </w:t>
            </w:r>
            <w:r w:rsidRPr="007A7B7F">
              <w:t xml:space="preserve">Prin gospodărie se înțelege unitatea locativă,  indiferent de numărul de camere, situația juridică a acestuia (proprietate persoană fizică, respectiv persoană juridică) sau de tipul de destinaţie (destinație de locuință, spaţiu comercial sau altă destinație decât locuinţă).  </w:t>
            </w:r>
          </w:p>
          <w:p w:rsidR="006E5710" w:rsidRDefault="006E5710" w:rsidP="001C1C72">
            <w:pPr>
              <w:pStyle w:val="Normal1"/>
              <w:spacing w:before="0" w:after="0"/>
            </w:pPr>
          </w:p>
          <w:p w:rsidR="006E5710" w:rsidRDefault="006E5710" w:rsidP="001C1C72">
            <w:pPr>
              <w:pStyle w:val="Normal1"/>
              <w:spacing w:before="0" w:after="0"/>
            </w:pPr>
            <w:r w:rsidRPr="006E5710">
              <w:t xml:space="preserve">Grilele de clasificare energetică a clădirilor sunt precizate în Metodologia de calcul al performanței energetice a clădirilor, aprobată prin Ordinul ministrului transporturilor, construcțiilor și turismului nr. 157/2007, </w:t>
            </w:r>
            <w:r w:rsidRPr="006E5710">
              <w:lastRenderedPageBreak/>
              <w:t>cu modificările și completările ulterioare.</w:t>
            </w:r>
            <w:r>
              <w:t xml:space="preserve">  </w:t>
            </w:r>
            <w:r w:rsidRPr="007A7B7F">
              <w:t xml:space="preserve">  </w:t>
            </w:r>
          </w:p>
          <w:p w:rsidR="006E5710" w:rsidRPr="004A1DF8" w:rsidRDefault="006E5710" w:rsidP="003D2429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7D058B" w:rsidRPr="003D6C70" w:rsidRDefault="007D058B" w:rsidP="003D2429">
            <w:pPr>
              <w:pStyle w:val="Normal1"/>
              <w:spacing w:before="0" w:after="0"/>
            </w:pPr>
            <w:r w:rsidRPr="003D6C70">
              <w:lastRenderedPageBreak/>
              <w:t>Număr gospodării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4A1DF8" w:rsidRDefault="007D058B" w:rsidP="003D2429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gospodării care înregistrează o clasificare mai bună a consumului de energie ca urmare a implementării proiectului. 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7D058B" w:rsidRPr="004A1DF8" w:rsidRDefault="007D058B" w:rsidP="003D2429">
            <w:pPr>
              <w:pStyle w:val="Normal1"/>
              <w:spacing w:before="0" w:after="0"/>
            </w:pPr>
            <w:r w:rsidRPr="004A1DF8">
              <w:t>Certificat de 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>
              <w:lastRenderedPageBreak/>
              <w:t xml:space="preserve">Consumul anual de energie primară </w:t>
            </w:r>
          </w:p>
        </w:tc>
        <w:tc>
          <w:tcPr>
            <w:tcW w:w="2552" w:type="dxa"/>
          </w:tcPr>
          <w:p w:rsidR="007D058B" w:rsidRPr="007B236D" w:rsidRDefault="00245804" w:rsidP="003D2429">
            <w:pPr>
              <w:pStyle w:val="Normal1"/>
              <w:spacing w:before="0" w:after="0"/>
            </w:pPr>
            <w:r>
              <w:t>S</w:t>
            </w:r>
            <w:r w:rsidR="007D058B" w:rsidRPr="007B236D">
              <w:t xml:space="preserve">e referă la cantitatea de energie primară consumată la nivelul clădirii </w:t>
            </w:r>
          </w:p>
        </w:tc>
        <w:tc>
          <w:tcPr>
            <w:tcW w:w="1559" w:type="dxa"/>
          </w:tcPr>
          <w:p w:rsidR="007D058B" w:rsidRPr="007B236D" w:rsidRDefault="007D058B" w:rsidP="003D2429">
            <w:pPr>
              <w:pStyle w:val="Normal1"/>
              <w:spacing w:before="0" w:after="0"/>
              <w:rPr>
                <w:b/>
                <w:highlight w:val="yellow"/>
              </w:rPr>
            </w:pPr>
            <w:r w:rsidRPr="00E8739B">
              <w:t>kwh/an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7B236D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Default="007D058B" w:rsidP="003D2429">
            <w:pPr>
              <w:pStyle w:val="Normal1"/>
              <w:spacing w:before="0" w:after="0"/>
            </w:pPr>
            <w:r w:rsidRPr="00E8739B">
              <w:t>Calculul consumului de energie primară se face separat pentru fiecare tip de utilizator (încălzire, răcire, apă caldă de consum, iluminat, etc</w:t>
            </w:r>
            <w:r>
              <w:t>.</w:t>
            </w:r>
            <w:r w:rsidRPr="00E8739B">
              <w:t>) şi pentru fiecare tip de combustibil sau sursa energetică.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>
              <w:t>Valoarea indicatorului la î</w:t>
            </w:r>
            <w:r w:rsidRPr="007B236D">
              <w:t>nceputul implement</w:t>
            </w:r>
            <w:r>
              <w:t>ă</w:t>
            </w:r>
            <w:r w:rsidRPr="007B236D">
              <w:t>rii proiectului</w:t>
            </w:r>
            <w:r>
              <w:t xml:space="preserve"> reprezintă </w:t>
            </w:r>
            <w:r w:rsidRPr="007B236D">
              <w:t>valo</w:t>
            </w:r>
            <w:r>
              <w:t>area calculată</w:t>
            </w:r>
            <w:r w:rsidRPr="007B236D">
              <w:t xml:space="preserve"> iniţial pentru clădire (precizat</w:t>
            </w:r>
            <w:r>
              <w:t>ă</w:t>
            </w:r>
            <w:r w:rsidRPr="007B236D">
              <w:t xml:space="preserve"> în Certificatul de performanţă energetică</w:t>
            </w:r>
            <w:r>
              <w:t xml:space="preserve">).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7B236D" w:rsidRDefault="007D058B" w:rsidP="003D2429">
            <w:pPr>
              <w:pStyle w:val="Normal1"/>
              <w:spacing w:before="0" w:after="0"/>
            </w:pPr>
            <w:r w:rsidRPr="007B236D">
              <w:t>Valoarea indicatorului înregistrată la finalul implementării proiectului reprezintă valo</w:t>
            </w:r>
            <w:r>
              <w:t>area estimată</w:t>
            </w:r>
            <w:r w:rsidRPr="007B236D">
              <w:t xml:space="preserve"> după implementarea proiectului (</w:t>
            </w:r>
            <w:r>
              <w:t xml:space="preserve">estimată prin </w:t>
            </w:r>
            <w:r w:rsidRPr="007B236D">
              <w:t>măsuril</w:t>
            </w:r>
            <w:r>
              <w:t>e</w:t>
            </w:r>
            <w:r w:rsidRPr="007B236D">
              <w:t>/pachetel</w:t>
            </w:r>
            <w:r>
              <w:t>e</w:t>
            </w:r>
            <w:r w:rsidRPr="007B236D">
              <w:t xml:space="preserve"> de măsuri propuse pr</w:t>
            </w:r>
            <w:r>
              <w:t>in Raportul de audit energetic)</w:t>
            </w:r>
            <w:r w:rsidRPr="007B236D">
              <w:t>.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7B236D">
              <w:t>Raport de audit energetic/</w:t>
            </w:r>
          </w:p>
          <w:p w:rsidR="007D058B" w:rsidRPr="007B236D" w:rsidRDefault="007D058B" w:rsidP="003D2429">
            <w:pPr>
              <w:pStyle w:val="Normal1"/>
              <w:spacing w:before="0" w:after="0"/>
            </w:pPr>
            <w:r w:rsidRPr="007B236D">
              <w:t>Certificat de 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>
              <w:t xml:space="preserve">Consumul anual specific de energie pentru încălzire </w:t>
            </w:r>
          </w:p>
        </w:tc>
        <w:tc>
          <w:tcPr>
            <w:tcW w:w="2552" w:type="dxa"/>
          </w:tcPr>
          <w:p w:rsidR="007D058B" w:rsidRPr="007B7383" w:rsidRDefault="00245804" w:rsidP="003D2429">
            <w:pPr>
              <w:pStyle w:val="Normal1"/>
              <w:spacing w:before="0" w:after="0"/>
            </w:pPr>
            <w:r>
              <w:t>S</w:t>
            </w:r>
            <w:r w:rsidR="007D058B">
              <w:t>e referă la</w:t>
            </w:r>
            <w:r w:rsidR="007D058B" w:rsidRPr="007B7383">
              <w:t xml:space="preserve"> cantitatea de energie termică la </w:t>
            </w:r>
            <w:r w:rsidR="007D058B">
              <w:t>nivelul clădirii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>
              <w:t>kwh/m2/an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7B7383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>
              <w:t xml:space="preserve">Valoarea indicatorului la  începutul implementării proiectului reprezintă valoarea calculată iniţial pentru clădire (precizată în Certificatul de performanţă energetică).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7B7383" w:rsidRDefault="007D058B" w:rsidP="003D2429">
            <w:pPr>
              <w:pStyle w:val="Normal1"/>
              <w:spacing w:before="0" w:after="0"/>
            </w:pPr>
            <w:r>
              <w:t>Valoarea indicatorului înregistrată la finalul implementării proiectului reprezintă valoarea estimată după implementarea proiectului (estimată prin măsurile/pachetele de măsuri propuse prin Raportul de audit energetic).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7B7383">
              <w:lastRenderedPageBreak/>
              <w:t>Raport de audit energetic/</w:t>
            </w:r>
          </w:p>
          <w:p w:rsidR="007D058B" w:rsidRPr="007B7383" w:rsidRDefault="007D058B" w:rsidP="003D2429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>
              <w:lastRenderedPageBreak/>
              <w:t xml:space="preserve">Consumul anual specific de energie </w:t>
            </w:r>
          </w:p>
        </w:tc>
        <w:tc>
          <w:tcPr>
            <w:tcW w:w="2552" w:type="dxa"/>
          </w:tcPr>
          <w:p w:rsidR="007D058B" w:rsidRPr="007B7383" w:rsidRDefault="00245804" w:rsidP="003D2429">
            <w:pPr>
              <w:pStyle w:val="Normal1"/>
              <w:spacing w:before="0" w:after="0"/>
            </w:pPr>
            <w:r>
              <w:t>S</w:t>
            </w:r>
            <w:r w:rsidR="007D058B" w:rsidRPr="007B7383">
              <w:t>e referă la cantitatea de energie termică și electrică la nivelul clădirii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>
              <w:t>kwh/ m2/an</w:t>
            </w:r>
          </w:p>
        </w:tc>
        <w:tc>
          <w:tcPr>
            <w:tcW w:w="4698" w:type="dxa"/>
          </w:tcPr>
          <w:p w:rsidR="007D058B" w:rsidRPr="007B7383" w:rsidRDefault="007D058B" w:rsidP="003D2429">
            <w:pPr>
              <w:pStyle w:val="Normal1"/>
              <w:spacing w:before="0" w:after="0"/>
            </w:pPr>
            <w:r w:rsidRPr="007B7383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7B7383" w:rsidRDefault="007D058B" w:rsidP="003D2429">
            <w:pPr>
              <w:pStyle w:val="Normal1"/>
              <w:spacing w:before="0" w:after="0"/>
            </w:pPr>
          </w:p>
          <w:p w:rsidR="007D058B" w:rsidRPr="007B7383" w:rsidRDefault="007D058B" w:rsidP="003D2429">
            <w:pPr>
              <w:pStyle w:val="Normal1"/>
              <w:spacing w:before="0" w:after="0"/>
            </w:pPr>
            <w:r>
              <w:t>Valoarea indicatorului la  î</w:t>
            </w:r>
            <w:r w:rsidRPr="007B7383">
              <w:t xml:space="preserve">nceputul implementării proiectului reprezintă valoarea calculată iniţial pentru clădire (precizată în Certificatul de performanţă energetică). </w:t>
            </w:r>
          </w:p>
          <w:p w:rsidR="007D058B" w:rsidRPr="007B7383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 w:rsidRPr="007B7383">
              <w:t>Valoarea indicatorului înregistrată la finalul implementării proiectului reprezintă valoarea estimată după implementarea</w:t>
            </w:r>
            <w:r>
              <w:t xml:space="preserve"> proiectului (estimată</w:t>
            </w:r>
            <w:r w:rsidRPr="007B7383">
              <w:t xml:space="preserve"> prin măsurile/pachetele de măsuri propuse prin Raportul de audit energetic).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7B7383">
              <w:t>Raport de audit energetic/</w:t>
            </w:r>
          </w:p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 w:rsidRPr="007B7383">
              <w:t>Certificat de performanță energetică</w:t>
            </w:r>
          </w:p>
        </w:tc>
      </w:tr>
    </w:tbl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Pr="00E8007F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18" w:rsidRDefault="00E91F18" w:rsidP="00995C14">
      <w:pPr>
        <w:spacing w:before="0" w:after="0"/>
      </w:pPr>
      <w:r>
        <w:separator/>
      </w:r>
    </w:p>
  </w:endnote>
  <w:endnote w:type="continuationSeparator" w:id="0">
    <w:p w:rsidR="00E91F18" w:rsidRDefault="00E91F18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F3E" w:rsidRDefault="007B7F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7F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F3E" w:rsidRDefault="007B7F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18" w:rsidRDefault="00E91F18" w:rsidP="00995C14">
      <w:pPr>
        <w:spacing w:before="0" w:after="0"/>
      </w:pPr>
      <w:r>
        <w:separator/>
      </w:r>
    </w:p>
  </w:footnote>
  <w:footnote w:type="continuationSeparator" w:id="0">
    <w:p w:rsidR="00E91F18" w:rsidRDefault="00E91F18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F3E" w:rsidRDefault="007B7F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0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0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Operaţiunea A - Clădiri rezidenţiale</w:t>
    </w:r>
  </w:p>
  <w:p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916E5B" w:rsidRPr="00283089" w:rsidRDefault="00916E5B" w:rsidP="00916E5B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>Ghidul Solicitantului. Condiții specifice de accesare a fondurilor în cad</w:t>
    </w:r>
    <w:r w:rsidR="00DC2A0A">
      <w:rPr>
        <w:rFonts w:cs="Arial"/>
        <w:b/>
        <w:bCs/>
        <w:color w:val="333333"/>
        <w:sz w:val="14"/>
      </w:rPr>
      <w:t>rul apelului de proiecte POR/</w:t>
    </w:r>
    <w:r>
      <w:rPr>
        <w:rFonts w:cs="Arial"/>
        <w:b/>
        <w:bCs/>
        <w:color w:val="333333"/>
        <w:sz w:val="14"/>
      </w:rPr>
      <w:t>2016/3/3.1/A/</w:t>
    </w:r>
    <w:r w:rsidR="002B5F7F">
      <w:rPr>
        <w:rFonts w:cs="Arial"/>
        <w:b/>
        <w:bCs/>
        <w:color w:val="333333"/>
        <w:sz w:val="14"/>
      </w:rPr>
      <w:t>ITI</w:t>
    </w:r>
    <w:r>
      <w:rPr>
        <w:rFonts w:cs="Arial"/>
        <w:b/>
        <w:bCs/>
        <w:color w:val="333333"/>
        <w:sz w:val="14"/>
      </w:rPr>
      <w:t>1</w:t>
    </w:r>
  </w:p>
  <w:p w:rsidR="00995C14" w:rsidRDefault="00BF7129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Anexa 3.1.A.</w:t>
    </w:r>
    <w:r w:rsidR="00766B67">
      <w:rPr>
        <w:rFonts w:cs="Arial"/>
        <w:b/>
        <w:bCs/>
        <w:color w:val="333333"/>
        <w:sz w:val="14"/>
      </w:rPr>
      <w:t>6</w:t>
    </w:r>
    <w:r w:rsidR="007B7F3E">
      <w:rPr>
        <w:rFonts w:cs="Arial"/>
        <w:b/>
        <w:bCs/>
        <w:color w:val="333333"/>
        <w:sz w:val="14"/>
      </w:rPr>
      <w:t xml:space="preserve"> ITI</w:t>
    </w:r>
    <w:bookmarkStart w:id="1" w:name="_GoBack"/>
    <w:bookmarkEnd w:id="1"/>
  </w:p>
  <w:p w:rsidR="002B5F7F" w:rsidRPr="00283089" w:rsidRDefault="002B5F7F" w:rsidP="002B5F7F">
    <w:pPr>
      <w:pStyle w:val="Header"/>
      <w:jc w:val="right"/>
      <w:rPr>
        <w:rFonts w:cs="Arial"/>
        <w:b/>
        <w:bCs/>
        <w:color w:val="333333"/>
        <w:sz w:val="14"/>
      </w:rPr>
    </w:pPr>
    <w:r w:rsidRPr="002B5F7F">
      <w:rPr>
        <w:rFonts w:cs="Arial"/>
        <w:b/>
        <w:bCs/>
        <w:color w:val="333333"/>
        <w:sz w:val="14"/>
      </w:rPr>
      <w:t xml:space="preserve">Apel dedicat </w:t>
    </w:r>
    <w:r>
      <w:rPr>
        <w:rFonts w:cs="Arial"/>
        <w:b/>
        <w:bCs/>
        <w:color w:val="333333"/>
        <w:sz w:val="14"/>
      </w:rPr>
      <w:t>zone</w:t>
    </w:r>
    <w:r w:rsidRPr="002B5F7F">
      <w:rPr>
        <w:rFonts w:cs="Arial"/>
        <w:b/>
        <w:bCs/>
        <w:color w:val="333333"/>
        <w:sz w:val="14"/>
      </w:rPr>
      <w:t>i de in</w:t>
    </w:r>
    <w:r>
      <w:rPr>
        <w:rFonts w:cs="Arial"/>
        <w:b/>
        <w:bCs/>
        <w:color w:val="333333"/>
        <w:sz w:val="14"/>
      </w:rPr>
      <w:t>vestiţii teritoriale integrate D</w:t>
    </w:r>
    <w:r w:rsidRPr="002B5F7F">
      <w:rPr>
        <w:rFonts w:cs="Arial"/>
        <w:b/>
        <w:bCs/>
        <w:color w:val="333333"/>
        <w:sz w:val="14"/>
      </w:rPr>
      <w:t>elta Dunării</w:t>
    </w:r>
  </w:p>
  <w:p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F3E" w:rsidRDefault="007B7F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6A3C"/>
    <w:rsid w:val="00137D46"/>
    <w:rsid w:val="00154207"/>
    <w:rsid w:val="0017777A"/>
    <w:rsid w:val="00185194"/>
    <w:rsid w:val="0018782F"/>
    <w:rsid w:val="001B503B"/>
    <w:rsid w:val="001C1B29"/>
    <w:rsid w:val="001C1C72"/>
    <w:rsid w:val="001E6B37"/>
    <w:rsid w:val="002256BD"/>
    <w:rsid w:val="002278B3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B174F"/>
    <w:rsid w:val="002B5F7F"/>
    <w:rsid w:val="002C498A"/>
    <w:rsid w:val="002C4D2A"/>
    <w:rsid w:val="002D6D40"/>
    <w:rsid w:val="002E205F"/>
    <w:rsid w:val="0030168D"/>
    <w:rsid w:val="0031232B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123B9"/>
    <w:rsid w:val="00460232"/>
    <w:rsid w:val="00473627"/>
    <w:rsid w:val="00490EFD"/>
    <w:rsid w:val="004969AB"/>
    <w:rsid w:val="004A1DF8"/>
    <w:rsid w:val="004A74A1"/>
    <w:rsid w:val="004B32E2"/>
    <w:rsid w:val="004B74B7"/>
    <w:rsid w:val="004E0101"/>
    <w:rsid w:val="004F46BF"/>
    <w:rsid w:val="004F4F43"/>
    <w:rsid w:val="00500541"/>
    <w:rsid w:val="00515E5E"/>
    <w:rsid w:val="005216E5"/>
    <w:rsid w:val="005529A9"/>
    <w:rsid w:val="00557611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F64B7"/>
    <w:rsid w:val="00616961"/>
    <w:rsid w:val="00620D4B"/>
    <w:rsid w:val="00631A03"/>
    <w:rsid w:val="00636332"/>
    <w:rsid w:val="006421DD"/>
    <w:rsid w:val="0065008D"/>
    <w:rsid w:val="006621E3"/>
    <w:rsid w:val="00672D80"/>
    <w:rsid w:val="006B3A71"/>
    <w:rsid w:val="006D7314"/>
    <w:rsid w:val="006E5710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A2FBA"/>
    <w:rsid w:val="007A7B7F"/>
    <w:rsid w:val="007B236D"/>
    <w:rsid w:val="007B3991"/>
    <w:rsid w:val="007B7383"/>
    <w:rsid w:val="007B7F3E"/>
    <w:rsid w:val="007D058B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C2EBF"/>
    <w:rsid w:val="008D0DCE"/>
    <w:rsid w:val="008F3B31"/>
    <w:rsid w:val="008F7A07"/>
    <w:rsid w:val="009153B0"/>
    <w:rsid w:val="00916E5B"/>
    <w:rsid w:val="009236D0"/>
    <w:rsid w:val="00925C39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631E1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42F9A"/>
    <w:rsid w:val="00C51E8F"/>
    <w:rsid w:val="00C83288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64FBA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91F18"/>
    <w:rsid w:val="00EA5B0A"/>
    <w:rsid w:val="00ED38F4"/>
    <w:rsid w:val="00ED7BB4"/>
    <w:rsid w:val="00F213DD"/>
    <w:rsid w:val="00F4350F"/>
    <w:rsid w:val="00F51F6D"/>
    <w:rsid w:val="00F572C9"/>
    <w:rsid w:val="00F62E16"/>
    <w:rsid w:val="00F9746F"/>
    <w:rsid w:val="00FA3974"/>
    <w:rsid w:val="00FA7471"/>
    <w:rsid w:val="00FB05B1"/>
    <w:rsid w:val="00FE1DF8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F2D4A-3FA1-4C4B-897D-AD6625F3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809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Elisa CRUCEANU</cp:lastModifiedBy>
  <cp:revision>41</cp:revision>
  <cp:lastPrinted>2016-05-07T13:01:00Z</cp:lastPrinted>
  <dcterms:created xsi:type="dcterms:W3CDTF">2016-03-09T14:17:00Z</dcterms:created>
  <dcterms:modified xsi:type="dcterms:W3CDTF">2016-08-22T13:21:00Z</dcterms:modified>
</cp:coreProperties>
</file>